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-360" w:leftChars="0" w:right="0" w:rightChars="0" w:firstLine="840" w:firstLineChars="40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木板封边机上变频器100M的应用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 w:rightChars="0" w:firstLine="422" w:firstLineChars="200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>关键词：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> 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instrText xml:space="preserve"> HYPERLINK "http://search.gongkong.com/search.aspx?k=js&amp;query=%u6728%u677f%u5c01%u8fb9%u673a" \t "http://www.gongkong.com/article/201805/_blank"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8"/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t>木板封边机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> 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instrText xml:space="preserve"> HYPERLINK "http://search.gongkong.com/search.aspx?k=js&amp;query=%u53d8%u9891" \t "http://www.gongkong.com/article/201805/_blank"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8"/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t>变频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标准</w:t>
      </w:r>
      <w:r>
        <w:rPr>
          <w:rFonts w:hint="eastAsia" w:ascii="宋体" w:hAnsi="宋体" w:eastAsia="宋体" w:cs="宋体"/>
          <w:sz w:val="21"/>
          <w:szCs w:val="21"/>
        </w:rPr>
        <w:t>MODBUS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通讯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 w:rightChars="0" w:firstLine="422" w:firstLineChars="200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>摘要：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100M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>具有体积小、效率高、能耗低等优点，很多生产设备也将提供动力的设备逐步更换为效率更高的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100M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>变频器，以降低整个生产设备的系统能耗。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 w:rightChars="0" w:firstLine="210" w:firstLineChars="100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>木板封边机消耗的电能在整个系统能耗中占比较大，降低能耗也成为设备提高能效等级的发展方向之一。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592580" cy="2214880"/>
            <wp:effectExtent l="0" t="0" r="7620" b="13970"/>
            <wp:docPr id="10" name="图片 9" descr="T@669YMCV[(B55@ATQJ_ET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T@669YMCV[(B55@ATQJ_ET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1"/>
          <w:szCs w:val="21"/>
          <w:lang w:val="en-US" w:eastAsia="zh-CN"/>
        </w:rPr>
        <w:t>100M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1"/>
          <w:szCs w:val="21"/>
        </w:rPr>
        <w:t>系列变频器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封边机是木工机械的一种。封边机是一种代替手工将封边程序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输送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--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"https://baike.so.com/doc/2184618-2311516.html" \t "https://baike.so.com/doc/_blank"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8"/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涂胶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贴边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--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&gt;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 xml:space="preserve"> 切断--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前后齐头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--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上下修边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--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上下精修边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--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上下刮边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--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"https://baike.so.com/doc/2125137-2248480.html" \t "https://baike.so.com/doc/_blank"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8"/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抛光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进行高度自动化的机器，主要分为半自动和手提两种。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lang w:eastAsia="zh-CN"/>
        </w:rPr>
        <w:drawing>
          <wp:inline distT="0" distB="0" distL="114300" distR="114300">
            <wp:extent cx="2980690" cy="2133600"/>
            <wp:effectExtent l="0" t="0" r="10160" b="0"/>
            <wp:docPr id="8" name="图片 8" descr="15312966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3129661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lang w:eastAsia="zh-CN"/>
        </w:rPr>
        <w:drawing>
          <wp:inline distT="0" distB="0" distL="114300" distR="114300">
            <wp:extent cx="2762250" cy="2112645"/>
            <wp:effectExtent l="0" t="0" r="0" b="1905"/>
            <wp:docPr id="12" name="图片 12" descr="20170623_09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70623_0912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Style w:val="7"/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lang w:eastAsia="zh-CN"/>
        </w:rPr>
        <w:t>100M</w:t>
      </w:r>
      <w:r>
        <w:rPr>
          <w:rStyle w:val="7"/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  <w:t>特点：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  <w:t>- 环境温度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lang w:val="en-US" w:eastAsia="zh-CN"/>
        </w:rPr>
        <w:t>-10-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  <w:t>50 ℃，无需降容；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  <w:t>- 体积小巧，业界领先；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  <w:t>- 调速范围宽，控制精度高；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  <w:t>- 低频带载能力强：VF/1Hz/150%；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  <w:t>- 保护功能完善：过流、过压、过载、过热等多重保护。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lang w:val="en-US" w:eastAsia="zh-CN"/>
        </w:rPr>
        <w:t>- 含标准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  <w:t>MODBUS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lang w:eastAsia="zh-CN"/>
        </w:rPr>
        <w:t>通讯，操作便捷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Style w:val="7"/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lang w:eastAsia="zh-CN"/>
        </w:rPr>
        <w:t>100M</w:t>
      </w:r>
      <w:r>
        <w:rPr>
          <w:rStyle w:val="7"/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  <w:t>控制回路标准接线图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033520" cy="4201795"/>
            <wp:effectExtent l="0" t="0" r="508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4201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lang w:eastAsia="zh-CN"/>
        </w:rPr>
        <w:t>常用参数设置：</w:t>
      </w:r>
    </w:p>
    <w:tbl>
      <w:tblPr>
        <w:tblStyle w:val="9"/>
        <w:tblW w:w="904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25"/>
        <w:gridCol w:w="1140"/>
        <w:gridCol w:w="1633"/>
        <w:gridCol w:w="2310"/>
        <w:gridCol w:w="31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0" w:hRule="atLeast"/>
        </w:trPr>
        <w:tc>
          <w:tcPr>
            <w:tcW w:w="904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100M封边机参数表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9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参数项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参数值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说明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接线方式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P013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恢复出厂设置</w:t>
            </w:r>
          </w:p>
        </w:tc>
        <w:tc>
          <w:tcPr>
            <w:tcW w:w="31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电源进线：380V(R/S/T）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220V（L/N）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输出接电机线： U/V/W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外控开关 接线：X1~COM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P002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0或3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频率源给定</w:t>
            </w:r>
          </w:p>
        </w:tc>
        <w:tc>
          <w:tcPr>
            <w:tcW w:w="3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P005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200或300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最高操作频率</w:t>
            </w:r>
          </w:p>
        </w:tc>
        <w:tc>
          <w:tcPr>
            <w:tcW w:w="3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P003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P005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主频率</w:t>
            </w:r>
          </w:p>
        </w:tc>
        <w:tc>
          <w:tcPr>
            <w:tcW w:w="3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P004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P005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基准频率</w:t>
            </w:r>
          </w:p>
        </w:tc>
        <w:tc>
          <w:tcPr>
            <w:tcW w:w="3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P009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中间频率电压</w:t>
            </w:r>
          </w:p>
        </w:tc>
        <w:tc>
          <w:tcPr>
            <w:tcW w:w="3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P014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加速时间</w:t>
            </w:r>
          </w:p>
        </w:tc>
        <w:tc>
          <w:tcPr>
            <w:tcW w:w="3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P015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减速时间</w:t>
            </w:r>
          </w:p>
        </w:tc>
        <w:tc>
          <w:tcPr>
            <w:tcW w:w="3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P023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反转静止</w:t>
            </w:r>
          </w:p>
        </w:tc>
        <w:tc>
          <w:tcPr>
            <w:tcW w:w="3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P072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同P005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模拟量最高端频率</w:t>
            </w:r>
          </w:p>
        </w:tc>
        <w:tc>
          <w:tcPr>
            <w:tcW w:w="3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P144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1800或2400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电机额定转速</w:t>
            </w:r>
          </w:p>
        </w:tc>
        <w:tc>
          <w:tcPr>
            <w:tcW w:w="3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904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 通讯参数如下实例中体现：</w:t>
            </w:r>
            <w:bookmarkStart w:id="0" w:name="_GoBack"/>
            <w:bookmarkEnd w:id="0"/>
          </w:p>
        </w:tc>
      </w:tr>
    </w:tbl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rPr>
          <w:rStyle w:val="7"/>
          <w:rFonts w:hint="eastAsia" w:ascii="宋体" w:hAnsi="宋体" w:eastAsia="宋体" w:cs="宋体"/>
          <w:b/>
          <w:bCs w:val="0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Style w:val="7"/>
          <w:rFonts w:hint="eastAsia" w:ascii="宋体" w:hAnsi="宋体" w:eastAsia="宋体" w:cs="宋体"/>
          <w:b/>
          <w:bCs w:val="0"/>
          <w:i w:val="0"/>
          <w:caps w:val="0"/>
          <w:color w:val="333333"/>
          <w:spacing w:val="0"/>
          <w:sz w:val="24"/>
          <w:szCs w:val="24"/>
          <w:lang w:val="en-US" w:eastAsia="zh-CN"/>
        </w:rPr>
        <w:t>实例：100M 标准485通讯（以与威纶触摸屏之间的通讯实例）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说明：</w:t>
      </w:r>
      <w:r>
        <w:rPr>
          <w:rFonts w:hint="eastAsia" w:ascii="宋体" w:hAnsi="宋体" w:eastAsia="宋体" w:cs="宋体"/>
          <w:sz w:val="21"/>
          <w:szCs w:val="21"/>
        </w:rPr>
        <w:t>通过威纶触摸屏控制多台的变频器，可实现变频器内部可读数据的读取，可写数据的写入。</w:t>
      </w:r>
    </w:p>
    <w:p>
      <w:pPr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例如：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变频器参数需要修改的有：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P001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=</w:t>
      </w:r>
      <w:r>
        <w:rPr>
          <w:rFonts w:hint="eastAsia" w:ascii="宋体" w:hAnsi="宋体" w:eastAsia="宋体" w:cs="宋体"/>
          <w:sz w:val="21"/>
          <w:szCs w:val="21"/>
        </w:rPr>
        <w:t xml:space="preserve">2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控制方式为：通讯口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P002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=</w:t>
      </w:r>
      <w:r>
        <w:rPr>
          <w:rFonts w:hint="eastAsia" w:ascii="宋体" w:hAnsi="宋体" w:eastAsia="宋体" w:cs="宋体"/>
          <w:sz w:val="21"/>
          <w:szCs w:val="21"/>
        </w:rPr>
        <w:t xml:space="preserve">2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频率设定选择为：通讯口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P165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=</w:t>
      </w:r>
      <w:r>
        <w:rPr>
          <w:rFonts w:hint="eastAsia" w:ascii="宋体" w:hAnsi="宋体" w:eastAsia="宋体" w:cs="宋体"/>
          <w:sz w:val="21"/>
          <w:szCs w:val="21"/>
        </w:rPr>
        <w:t xml:space="preserve">0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通讯资料方式为：</w:t>
      </w:r>
      <w:r>
        <w:rPr>
          <w:rFonts w:hint="eastAsia"/>
          <w:b w:val="0"/>
          <w:bCs w:val="0"/>
          <w:lang w:val="en-US" w:eastAsia="zh-CN"/>
        </w:rPr>
        <w:t>标准Modbus-RTU，数据格式为8N1 for RTU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P163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=</w:t>
      </w:r>
      <w:r>
        <w:rPr>
          <w:rFonts w:hint="eastAsia" w:ascii="宋体" w:hAnsi="宋体" w:eastAsia="宋体" w:cs="宋体"/>
          <w:sz w:val="21"/>
          <w:szCs w:val="21"/>
        </w:rPr>
        <w:t>1(此设定为当前变频器站号，每台变频器都有自己不同的站号，可由1号依次往下类推。)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P164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=</w:t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/>
          <w:b w:val="0"/>
          <w:bCs w:val="0"/>
          <w:lang w:val="en-US" w:eastAsia="zh-CN"/>
        </w:rPr>
        <w:t>通讯传输速度：9600位/秒（0：4800位/秒；1：9600位/秒；2：19200/秒；3：38400位/秒）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触摸屏设置方法：先将PLC类型修改为Modbus RTU ,接口为485-2W,COM口选择COM2(9600,N,8,1)</w:t>
      </w:r>
    </w:p>
    <w:p>
      <w:pPr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970655" cy="4191635"/>
            <wp:effectExtent l="0" t="0" r="10795" b="18415"/>
            <wp:docPr id="6" name="图片 2" descr="QQ截图2019031514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QQ截图201903151434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4191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另外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为防止通讯种可能出现的通讯报错，需要将超时改为0.1秒，通讯延时改为100ms，命令重送次数改为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sz w:val="21"/>
          <w:szCs w:val="21"/>
        </w:rPr>
        <w:t>3</w:t>
      </w:r>
    </w:p>
    <w:p>
      <w:pPr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336550</wp:posOffset>
                </wp:positionV>
                <wp:extent cx="1389380" cy="1455420"/>
                <wp:effectExtent l="6350" t="6350" r="13970" b="2413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380" cy="1455420"/>
                          <a:chOff x="10910" y="46478"/>
                          <a:chExt cx="2995" cy="2854"/>
                        </a:xfrm>
                      </wpg:grpSpPr>
                      <wps:wsp>
                        <wps:cNvPr id="7" name="椭圆 7"/>
                        <wps:cNvSpPr/>
                        <wps:spPr>
                          <a:xfrm>
                            <a:off x="10910" y="46478"/>
                            <a:ext cx="2884" cy="70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椭圆 14"/>
                        <wps:cNvSpPr/>
                        <wps:spPr>
                          <a:xfrm>
                            <a:off x="11021" y="48628"/>
                            <a:ext cx="2884" cy="70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9.25pt;margin-top:26.5pt;height:114.6pt;width:109.4pt;z-index:251658240;mso-width-relative:page;mso-height-relative:page;" coordorigin="10910,46478" coordsize="2995,2854" o:gfxdata="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">
                <o:lock v:ext="edit" aspectratio="f"/>
                <v:shape id="_x0000_s1026" o:spid="_x0000_s1026" o:spt="3" type="#_x0000_t3" style="position:absolute;left:10910;top:46478;height:705;width:2884;v-text-anchor:middle;" filled="f" stroked="t" coordsize="21600,21600" o:gfxdata="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LgT6e5AAAA2g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1021;top:48628;height:705;width:2884;v-text-anchor:middle;" filled="f" stroked="t" coordsize="21600,21600" o:gfxdata="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5QsbStwAAANs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845560" cy="2040890"/>
            <wp:effectExtent l="0" t="0" r="2540" b="16510"/>
            <wp:docPr id="4" name="图片 3" descr="QQ截图2019031514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QQ截图201903151435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程序编写：</w:t>
      </w:r>
    </w:p>
    <w:p>
      <w:pPr>
        <w:numPr>
          <w:ilvl w:val="0"/>
          <w:numId w:val="0"/>
        </w:numPr>
        <w:ind w:leftChars="0"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与触摸屏通讯是，功能码选择6X，其中1000H,2000H,8000H系列的参数MODBUS地址为十六进制，需要先转化为十进制后，再加偏移量“1”。以设定通讯频率地址为例，命令地址为1000H，此数为16进制，转化为十进制为4096，然后加“1”为4097，即为此参数的触摸屏编写地址。P型参数的地址本身就是十进制，直接加上偏移量“1”即为触摸屏编写地址。如P001的触摸屏编写地址就是6X1#002</w:t>
      </w:r>
    </w:p>
    <w:p>
      <w:pPr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2858135</wp:posOffset>
                </wp:positionH>
                <wp:positionV relativeFrom="paragraph">
                  <wp:posOffset>1089025</wp:posOffset>
                </wp:positionV>
                <wp:extent cx="1823720" cy="211455"/>
                <wp:effectExtent l="6350" t="6350" r="17780" b="10795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43935" y="3189605"/>
                          <a:ext cx="1823720" cy="2114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5.05pt;margin-top:85.75pt;height:16.65pt;width:143.6pt;z-index:251659264;v-text-anchor:middle;mso-width-relative:page;mso-height-relative:page;" filled="f" stroked="t" coordsize="21600,21600" o:gfxdata="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VjiDv2AAAAAsBAAAPAAAAAAAAAAEAIAAAACIAAABkcnMvZG93bnJldi54bWxQSwECFAAUAAAA&#10;CACHTuJAt8KpQ2ACAACOBAAADgAAAAAAAAABACAAAAAnAQAAZHJzL2Uyb0RvYy54bWxQSwUGAAAA&#10;AAYABgBZAQAA+QU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427730" cy="4114800"/>
            <wp:effectExtent l="0" t="0" r="1270" b="0"/>
            <wp:docPr id="5" name="图片 4" descr="QQ截图2019031514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QQ截图201903151432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其他参数依次类推即可。需要注意的是，如果是1号变频器的参数，要在地址前加1#前缀。2号变频器就要加2#前缀，与变频器设值的站号对应，依次类推即可。</w:t>
      </w:r>
    </w:p>
    <w:p>
      <w:pPr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D.接线方法：触摸屏端需要九针D型母头，其中</w:t>
      </w:r>
      <w:r>
        <w:rPr>
          <w:rFonts w:hint="eastAsia" w:ascii="宋体" w:hAnsi="宋体" w:eastAsia="宋体" w:cs="宋体"/>
          <w:b/>
          <w:sz w:val="21"/>
          <w:szCs w:val="21"/>
        </w:rPr>
        <w:t>1--</w:t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 xml:space="preserve">&gt; </w:t>
      </w:r>
      <w:r>
        <w:rPr>
          <w:rFonts w:hint="eastAsia" w:ascii="宋体" w:hAnsi="宋体" w:eastAsia="宋体" w:cs="宋体"/>
          <w:b/>
          <w:sz w:val="21"/>
          <w:szCs w:val="21"/>
        </w:rPr>
        <w:t>485-    2—</w:t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 xml:space="preserve">&gt; </w:t>
      </w:r>
      <w:r>
        <w:rPr>
          <w:rFonts w:hint="eastAsia" w:ascii="宋体" w:hAnsi="宋体" w:eastAsia="宋体" w:cs="宋体"/>
          <w:b/>
          <w:sz w:val="21"/>
          <w:szCs w:val="21"/>
        </w:rPr>
        <w:t>485+   5--</w:t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>&gt;</w:t>
      </w:r>
      <w:r>
        <w:rPr>
          <w:rFonts w:hint="eastAsia" w:ascii="宋体" w:hAnsi="宋体" w:eastAsia="宋体" w:cs="宋体"/>
          <w:b/>
          <w:sz w:val="21"/>
          <w:szCs w:val="21"/>
        </w:rPr>
        <w:t>GND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rPr>
          <w:rStyle w:val="7"/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lang w:eastAsia="zh-CN"/>
        </w:rPr>
      </w:pPr>
      <w:r>
        <w:rPr>
          <w:rStyle w:val="7"/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  <w:t>现场图片</w:t>
      </w:r>
      <w:r>
        <w:rPr>
          <w:rStyle w:val="7"/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lang w:eastAsia="zh-CN"/>
        </w:rPr>
        <w:t>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lang w:eastAsia="zh-CN"/>
        </w:rPr>
        <w:drawing>
          <wp:inline distT="0" distB="0" distL="114300" distR="114300">
            <wp:extent cx="3677920" cy="2760345"/>
            <wp:effectExtent l="0" t="0" r="17780" b="1905"/>
            <wp:docPr id="9" name="图片 9" descr="20170622_22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70622_2235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7792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lang w:eastAsia="zh-CN"/>
        </w:rPr>
        <w:drawing>
          <wp:inline distT="0" distB="0" distL="114300" distR="114300">
            <wp:extent cx="4055110" cy="3041650"/>
            <wp:effectExtent l="0" t="0" r="2540" b="6350"/>
            <wp:docPr id="11" name="图片 11" descr="20170622_22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70622_2236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3780" w:firstLineChars="1800"/>
        <w:jc w:val="both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lang w:eastAsia="zh-CN"/>
        </w:rPr>
        <w:t>电控柜内布线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160520" cy="5079365"/>
            <wp:effectExtent l="0" t="0" r="11430" b="698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5079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3990" w:firstLineChars="19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  <w:t>木板封边机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360" w:lineRule="atLeast"/>
        <w:ind w:right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</w:rPr>
        <w:t>常见故障有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以下：</w:t>
      </w:r>
    </w:p>
    <w:tbl>
      <w:tblPr>
        <w:tblStyle w:val="9"/>
        <w:tblW w:w="9703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0"/>
        <w:gridCol w:w="2643"/>
        <w:gridCol w:w="6480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97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常见故障以及处理措施：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2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故障</w:t>
            </w:r>
          </w:p>
        </w:tc>
        <w:tc>
          <w:tcPr>
            <w:tcW w:w="6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处理方式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</w:trPr>
        <w:tc>
          <w:tcPr>
            <w:tcW w:w="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变频器无显示</w:t>
            </w:r>
          </w:p>
        </w:tc>
        <w:tc>
          <w:tcPr>
            <w:tcW w:w="6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1）检查输入电压；2）检测面板是否松动；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3）找专业人员或由设备厂家检修；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5" w:hRule="atLeast"/>
        </w:trPr>
        <w:tc>
          <w:tcPr>
            <w:tcW w:w="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跳EOC故障</w:t>
            </w:r>
          </w:p>
        </w:tc>
        <w:tc>
          <w:tcPr>
            <w:tcW w:w="6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1）确认运行跳故障还是上电故障，去电机后情况；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2）检测电机短路或局部短路？或输出电缆线绝缘问题；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3）检测变频器输出电压；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4）确认参数是否被改动；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5）找专业人员或由设备厂家检修；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 w:hRule="atLeast"/>
        </w:trPr>
        <w:tc>
          <w:tcPr>
            <w:tcW w:w="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跳EOH故障</w:t>
            </w:r>
          </w:p>
        </w:tc>
        <w:tc>
          <w:tcPr>
            <w:tcW w:w="6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1）检查风扇或风道有堵转问题；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2）周围环境温度是否合理；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3）变频器故障；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0" w:hRule="atLeast"/>
        </w:trPr>
        <w:tc>
          <w:tcPr>
            <w:tcW w:w="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跳AOL故障</w:t>
            </w:r>
          </w:p>
        </w:tc>
        <w:tc>
          <w:tcPr>
            <w:tcW w:w="6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1）检查机械负载是否卡死现象；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2）检测电机短路或局部短路？或输出电缆线绝缘问题；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3）参数问题找专业人员或由设备厂家检修；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4）变频器故障；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5" w:hRule="atLeast"/>
        </w:trPr>
        <w:tc>
          <w:tcPr>
            <w:tcW w:w="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跳EOU故障</w:t>
            </w:r>
          </w:p>
        </w:tc>
        <w:tc>
          <w:tcPr>
            <w:tcW w:w="6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1）确认上电故障还是停机故障；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2）输入的电网电压是否过高；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3）减速时间加长；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4）参数问题找专业人员或由设备厂家检修；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5）变频器故障；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齐头、倒角、粗修、精修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电机不转</w:t>
            </w:r>
          </w:p>
        </w:tc>
        <w:tc>
          <w:tcPr>
            <w:tcW w:w="6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1）确认对应的变频器控制器是否正常，故障同上处理；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2）检查电机；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3）参数是否有设置正确；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2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设备漏电</w:t>
            </w:r>
          </w:p>
        </w:tc>
        <w:tc>
          <w:tcPr>
            <w:tcW w:w="6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1）设备接大地；2）零火线交换位置；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3）减小载波频率；4）变频器PE与电机铁皮连接；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6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送电跳空开</w:t>
            </w:r>
          </w:p>
        </w:tc>
        <w:tc>
          <w:tcPr>
            <w:tcW w:w="6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1）确认是否带漏保以及漏保大小或空开问题；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2）断变频器输入不否正常；3）变频器问题；</w:t>
            </w:r>
          </w:p>
        </w:tc>
      </w:tr>
    </w:tbl>
    <w:p>
      <w:pPr>
        <w:numPr>
          <w:ilvl w:val="0"/>
          <w:numId w:val="0"/>
        </w:num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134" w:right="1080" w:bottom="850" w:left="1080" w:header="397" w:footer="45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keepNext w:val="0"/>
      <w:keepLines w:val="0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 w:line="300" w:lineRule="atLeast"/>
      <w:ind w:right="0" w:firstLine="4638" w:firstLineChars="2200"/>
      <w:jc w:val="both"/>
      <w:rPr>
        <w:rFonts w:hint="eastAsia" w:ascii="宋体" w:hAnsi="宋体" w:eastAsia="宋体" w:cs="宋体"/>
        <w:i w:val="0"/>
        <w:caps w:val="0"/>
        <w:color w:val="7F7F7F" w:themeColor="background1" w:themeShade="80"/>
        <w:spacing w:val="0"/>
        <w:sz w:val="21"/>
        <w:szCs w:val="21"/>
        <w:lang w:val="en-US" w:eastAsia="zh-CN"/>
      </w:rPr>
    </w:pPr>
    <w:r>
      <w:rPr>
        <w:rFonts w:hint="eastAsia" w:ascii="宋体" w:hAnsi="宋体" w:eastAsia="宋体" w:cs="宋体"/>
        <w:i w:val="0"/>
        <w:caps w:val="0"/>
        <w:color w:val="7F7F7F" w:themeColor="background1" w:themeShade="80"/>
        <w:spacing w:val="0"/>
        <w:sz w:val="21"/>
        <w:szCs w:val="21"/>
      </w:rPr>
      <w:t>供稿：</w:t>
    </w:r>
    <w:r>
      <w:rPr>
        <w:rFonts w:hint="eastAsia" w:ascii="宋体" w:hAnsi="宋体" w:eastAsia="宋体" w:cs="宋体"/>
        <w:i w:val="0"/>
        <w:caps w:val="0"/>
        <w:color w:val="7F7F7F" w:themeColor="background1" w:themeShade="80"/>
        <w:spacing w:val="0"/>
        <w:sz w:val="21"/>
        <w:szCs w:val="21"/>
        <w:u w:val="none"/>
      </w:rPr>
      <w:fldChar w:fldCharType="begin"/>
    </w:r>
    <w:r>
      <w:rPr>
        <w:rFonts w:hint="eastAsia" w:ascii="宋体" w:hAnsi="宋体" w:eastAsia="宋体" w:cs="宋体"/>
        <w:i w:val="0"/>
        <w:caps w:val="0"/>
        <w:color w:val="7F7F7F" w:themeColor="background1" w:themeShade="80"/>
        <w:spacing w:val="0"/>
        <w:sz w:val="21"/>
        <w:szCs w:val="21"/>
        <w:u w:val="none"/>
      </w:rPr>
      <w:instrText xml:space="preserve"> HYPERLINK "http://c.gongkong.com/?cid=44691" \o "深圳市英威腾电气股份有限公司" \t "http://www.gongkong.com/article/201110/_blank" </w:instrText>
    </w:r>
    <w:r>
      <w:rPr>
        <w:rFonts w:hint="eastAsia" w:ascii="宋体" w:hAnsi="宋体" w:eastAsia="宋体" w:cs="宋体"/>
        <w:i w:val="0"/>
        <w:caps w:val="0"/>
        <w:color w:val="7F7F7F" w:themeColor="background1" w:themeShade="80"/>
        <w:spacing w:val="0"/>
        <w:sz w:val="21"/>
        <w:szCs w:val="21"/>
        <w:u w:val="none"/>
      </w:rPr>
      <w:fldChar w:fldCharType="separate"/>
    </w:r>
    <w:r>
      <w:rPr>
        <w:rStyle w:val="8"/>
        <w:rFonts w:hint="eastAsia" w:ascii="宋体" w:hAnsi="宋体" w:eastAsia="宋体" w:cs="宋体"/>
        <w:i w:val="0"/>
        <w:caps w:val="0"/>
        <w:color w:val="7F7F7F" w:themeColor="background1" w:themeShade="80"/>
        <w:spacing w:val="0"/>
        <w:sz w:val="21"/>
        <w:szCs w:val="21"/>
        <w:u w:val="none"/>
        <w:lang w:eastAsia="zh-CN"/>
      </w:rPr>
      <w:t>浙江中驱</w:t>
    </w:r>
    <w:r>
      <w:rPr>
        <w:rStyle w:val="8"/>
        <w:rFonts w:hint="eastAsia" w:ascii="宋体" w:hAnsi="宋体" w:eastAsia="宋体" w:cs="宋体"/>
        <w:i w:val="0"/>
        <w:caps w:val="0"/>
        <w:color w:val="7F7F7F" w:themeColor="background1" w:themeShade="80"/>
        <w:spacing w:val="0"/>
        <w:sz w:val="21"/>
        <w:szCs w:val="21"/>
        <w:u w:val="none"/>
      </w:rPr>
      <w:t>电气股份有限公司</w:t>
    </w:r>
    <w:r>
      <w:rPr>
        <w:rFonts w:hint="eastAsia" w:ascii="宋体" w:hAnsi="宋体" w:eastAsia="宋体" w:cs="宋体"/>
        <w:i w:val="0"/>
        <w:caps w:val="0"/>
        <w:color w:val="7F7F7F" w:themeColor="background1" w:themeShade="80"/>
        <w:spacing w:val="0"/>
        <w:sz w:val="21"/>
        <w:szCs w:val="21"/>
        <w:u w:val="none"/>
      </w:rPr>
      <w:fldChar w:fldCharType="end"/>
    </w:r>
    <w:r>
      <w:rPr>
        <w:rFonts w:hint="eastAsia" w:ascii="宋体" w:hAnsi="宋体" w:eastAsia="宋体" w:cs="宋体"/>
        <w:i w:val="0"/>
        <w:caps w:val="0"/>
        <w:color w:val="7F7F7F" w:themeColor="background1" w:themeShade="80"/>
        <w:spacing w:val="0"/>
        <w:sz w:val="21"/>
        <w:szCs w:val="21"/>
      </w:rPr>
      <w:t> </w:t>
    </w:r>
    <w:r>
      <w:rPr>
        <w:rFonts w:hint="eastAsia" w:ascii="宋体" w:hAnsi="宋体" w:eastAsia="宋体" w:cs="宋体"/>
        <w:i w:val="0"/>
        <w:caps w:val="0"/>
        <w:color w:val="7F7F7F" w:themeColor="background1" w:themeShade="80"/>
        <w:spacing w:val="0"/>
        <w:sz w:val="21"/>
        <w:szCs w:val="21"/>
        <w:lang w:val="en-US" w:eastAsia="zh-CN"/>
      </w:rPr>
      <w:t xml:space="preserve">  </w:t>
    </w:r>
    <w:r>
      <w:rPr>
        <w:rFonts w:hint="eastAsia" w:cs="宋体"/>
        <w:i w:val="0"/>
        <w:caps w:val="0"/>
        <w:color w:val="7F7F7F" w:themeColor="background1" w:themeShade="80"/>
        <w:spacing w:val="0"/>
        <w:sz w:val="21"/>
        <w:szCs w:val="21"/>
        <w:lang w:val="en-US" w:eastAsia="zh-CN"/>
      </w:rPr>
      <w:t>王海军/吴勇飞</w:t>
    </w:r>
  </w:p>
  <w:p>
    <w:pPr>
      <w:pStyle w:val="3"/>
      <w:rPr>
        <w:color w:val="7F7F7F" w:themeColor="background1" w:themeShade="8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9638"/>
        <w:tab w:val="clear" w:pos="4153"/>
        <w:tab w:val="clear" w:pos="8306"/>
      </w:tabs>
      <w:jc w:val="both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49530</wp:posOffset>
              </wp:positionH>
              <wp:positionV relativeFrom="paragraph">
                <wp:posOffset>687705</wp:posOffset>
              </wp:positionV>
              <wp:extent cx="6097270" cy="0"/>
              <wp:effectExtent l="0" t="0" r="0" b="0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35330" y="952500"/>
                        <a:ext cx="60972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9pt;margin-top:54.15pt;height:0pt;width:480.1pt;z-index:251658240;mso-width-relative:page;mso-height-relative:page;" filled="f" stroked="t" coordsize="21600,21600" o:gfxdata="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tmabXVAAAACQEAAA8AAAAAAAAAAQAgAAAAIgAA&#10;AGRycy9kb3ducmV2LnhtbFBLAQIUABQAAAAIAIdO4kDDuBd70gEAAG0DAAAOAAAAAAAAAAEAIAAA&#10;ACQBAABkcnMvZTJvRG9jLnhtbFBLBQYAAAAABgAGAFkBAABoBQAAAAA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drawing>
        <wp:inline distT="0" distB="0" distL="114300" distR="114300">
          <wp:extent cx="1323975" cy="728345"/>
          <wp:effectExtent l="0" t="0" r="9525" b="14605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7283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eastAsia="宋体"/>
        <w:lang w:val="en-US" w:eastAsia="zh-CN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31E87"/>
    <w:multiLevelType w:val="singleLevel"/>
    <w:tmpl w:val="50731E87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FC3C0D"/>
    <w:rsid w:val="047B58FA"/>
    <w:rsid w:val="12F53960"/>
    <w:rsid w:val="14782C67"/>
    <w:rsid w:val="23C620E6"/>
    <w:rsid w:val="378D0B7E"/>
    <w:rsid w:val="3A9348C4"/>
    <w:rsid w:val="3BE92A4D"/>
    <w:rsid w:val="3DCF6C07"/>
    <w:rsid w:val="44347BD6"/>
    <w:rsid w:val="46FC3C0D"/>
    <w:rsid w:val="5E8D0672"/>
    <w:rsid w:val="6C99068D"/>
    <w:rsid w:val="6D535020"/>
    <w:rsid w:val="7A661554"/>
    <w:rsid w:val="7CE7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2018-07-11T08:00:00Z</dcterms:created>
  <dc:creator>ZQ-大飞</dc:creator>
  <cp:lastModifiedBy>wyf</cp:lastModifiedBy>
  <cp:lastPrinted>2018-08-01T07:03:00Z</cp:lastPrinted>
  <dcterms:modified xsi:type="dcterms:W3CDTF">2019-08-31T02:54:31Z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